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75" w:rsidRDefault="00670275" w:rsidP="00670275">
      <w:pPr>
        <w:pStyle w:val="NormalWeb"/>
        <w:jc w:val="center"/>
      </w:pPr>
      <w:bookmarkStart w:id="0" w:name="_GoBack"/>
      <w:bookmarkEnd w:id="0"/>
      <w:r>
        <w:rPr>
          <w:b/>
          <w:bCs/>
          <w:sz w:val="28"/>
          <w:szCs w:val="28"/>
        </w:rPr>
        <w:t>NOLIKUMS</w:t>
      </w:r>
    </w:p>
    <w:p w:rsidR="00670275" w:rsidRPr="000B3C17" w:rsidRDefault="00670275" w:rsidP="000B3C17">
      <w:pPr>
        <w:pStyle w:val="NormalWeb"/>
        <w:jc w:val="center"/>
        <w:rPr>
          <w:rFonts w:asciiTheme="minorHAnsi" w:hAnsiTheme="minorHAnsi"/>
        </w:rPr>
      </w:pPr>
      <w:r w:rsidRPr="000B3C17">
        <w:rPr>
          <w:rFonts w:asciiTheme="minorHAnsi" w:hAnsiTheme="minorHAnsi"/>
          <w:b/>
          <w:bCs/>
        </w:rPr>
        <w:t>Par</w:t>
      </w:r>
      <w:proofErr w:type="gramStart"/>
      <w:r w:rsidRPr="000B3C17">
        <w:rPr>
          <w:rFonts w:asciiTheme="minorHAnsi" w:hAnsiTheme="minorHAnsi"/>
          <w:b/>
          <w:bCs/>
        </w:rPr>
        <w:t xml:space="preserve">  </w:t>
      </w:r>
      <w:proofErr w:type="gramEnd"/>
      <w:r w:rsidRPr="000B3C17">
        <w:rPr>
          <w:rFonts w:asciiTheme="minorHAnsi" w:hAnsiTheme="minorHAnsi"/>
          <w:b/>
          <w:bCs/>
        </w:rPr>
        <w:t xml:space="preserve">akciju sabiedrības „Attīstības finanšu institūcija </w:t>
      </w:r>
      <w:proofErr w:type="spellStart"/>
      <w:r w:rsidRPr="000B3C17">
        <w:rPr>
          <w:rFonts w:asciiTheme="minorHAnsi" w:hAnsiTheme="minorHAnsi"/>
          <w:b/>
          <w:bCs/>
        </w:rPr>
        <w:t>Altum</w:t>
      </w:r>
      <w:proofErr w:type="spellEnd"/>
      <w:r w:rsidRPr="000B3C17">
        <w:rPr>
          <w:rFonts w:asciiTheme="minorHAnsi" w:hAnsiTheme="minorHAnsi"/>
          <w:b/>
          <w:bCs/>
        </w:rPr>
        <w:t>”, Latvijas Lauksaimniecības un meža zinātņu akadēmijas un Latvijas Lauksaimniecības universitātes balvām jaunajiem zinātniekiem par ieguldījumu lauku attīstības zinātniskajos pētījumos 2014., 2015. un 2016. gadā</w:t>
      </w:r>
    </w:p>
    <w:p w:rsidR="00670275" w:rsidRPr="000B3C17" w:rsidRDefault="004F2C93" w:rsidP="000B3C17">
      <w:pPr>
        <w:pStyle w:val="NormalWeb"/>
        <w:spacing w:before="0" w:beforeAutospacing="0" w:after="0" w:afterAutospacing="0"/>
        <w:jc w:val="both"/>
        <w:rPr>
          <w:rFonts w:asciiTheme="minorHAnsi" w:hAnsiTheme="minorHAnsi"/>
        </w:rPr>
      </w:pPr>
      <w:r>
        <w:rPr>
          <w:rFonts w:asciiTheme="minorHAnsi" w:hAnsiTheme="minorHAnsi"/>
        </w:rPr>
        <w:t>A</w:t>
      </w:r>
      <w:r w:rsidR="00670275" w:rsidRPr="000B3C17">
        <w:rPr>
          <w:rFonts w:asciiTheme="minorHAnsi" w:hAnsiTheme="minorHAnsi"/>
        </w:rPr>
        <w:t xml:space="preserve">kciju sabiedrība ”Attīstības finanšu institūcija </w:t>
      </w:r>
      <w:proofErr w:type="spellStart"/>
      <w:r w:rsidR="00670275" w:rsidRPr="000B3C17">
        <w:rPr>
          <w:rFonts w:asciiTheme="minorHAnsi" w:hAnsiTheme="minorHAnsi"/>
        </w:rPr>
        <w:t>Altum</w:t>
      </w:r>
      <w:proofErr w:type="spellEnd"/>
      <w:r w:rsidR="00670275" w:rsidRPr="000B3C17">
        <w:rPr>
          <w:rFonts w:asciiTheme="minorHAnsi" w:hAnsiTheme="minorHAnsi"/>
        </w:rPr>
        <w:t>”, turpmāk tekstā „</w:t>
      </w:r>
      <w:proofErr w:type="spellStart"/>
      <w:r w:rsidR="00670275" w:rsidRPr="000B3C17">
        <w:rPr>
          <w:rFonts w:asciiTheme="minorHAnsi" w:hAnsiTheme="minorHAnsi"/>
        </w:rPr>
        <w:t>Altum</w:t>
      </w:r>
      <w:proofErr w:type="spellEnd"/>
      <w:r w:rsidR="00670275" w:rsidRPr="000B3C17">
        <w:rPr>
          <w:rFonts w:asciiTheme="minorHAnsi" w:hAnsiTheme="minorHAnsi"/>
        </w:rPr>
        <w:t>”, Latvijas Lauksaimniecības un meža zinātņu akadēmija, turpmāk tekstā „LLMZA” un Latvijas Lauksaimniecības universitāte, turpmāk tekstā „LLU”, saskaņā ar 2014. gada 3. martā savstarpēji noslēgto SADARBĪBAS LĪGUMU, vienojas par šādu konkursu rīkošanas un apbalvojumu piešķiršanas kārtību:</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1. Apbalvojumi tiek piešķirti par ieguldījumu lauku attīstības zinātniskajos pētījumos uz konkursa pamata jaunajiem doktoriem un maģistriem, ja viņi konkursu pieteikumu iesniegšanas brīdī nav vecāki par 35 (trīsdesmit pieciem) gadiem.</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2. Apbalvojumi tiek piešķirti par izciliem pētījumiem, kuri veicina lauku attīstību, to modernizāciju, uzņēmējdarbību, efektīvu finanšu līdzekļu izmantošanu.</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 xml:space="preserve">3. Katru gadu tiek piešķirtas 2 (divas) galvenās balvas un seši goda raksti. Balvas sevī ietver diplomu, kas apliecina augsto novērtējumu, kā arī piemiņas veltes, ko nodrošina </w:t>
      </w:r>
      <w:proofErr w:type="spellStart"/>
      <w:r w:rsidRPr="000B3C17">
        <w:rPr>
          <w:rFonts w:asciiTheme="minorHAnsi" w:hAnsiTheme="minorHAnsi"/>
        </w:rPr>
        <w:t>Altum</w:t>
      </w:r>
      <w:proofErr w:type="spellEnd"/>
      <w:r w:rsidRPr="000B3C17">
        <w:rPr>
          <w:rFonts w:asciiTheme="minorHAnsi" w:hAnsiTheme="minorHAnsi"/>
        </w:rPr>
        <w:t xml:space="preserve">. Piemiņas veltes no </w:t>
      </w:r>
      <w:proofErr w:type="spellStart"/>
      <w:r w:rsidRPr="000B3C17">
        <w:rPr>
          <w:rFonts w:asciiTheme="minorHAnsi" w:hAnsiTheme="minorHAnsi"/>
        </w:rPr>
        <w:t>Altum</w:t>
      </w:r>
      <w:proofErr w:type="spellEnd"/>
      <w:r w:rsidRPr="000B3C17">
        <w:rPr>
          <w:rFonts w:asciiTheme="minorHAnsi" w:hAnsiTheme="minorHAnsi"/>
        </w:rPr>
        <w:t xml:space="preserve"> tiek pasniegtas arī pētījumu darbu vadītājiem.</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 xml:space="preserve">4. Konkursu rīko LLMZA, LLU </w:t>
      </w:r>
      <w:r w:rsidR="000B3C17" w:rsidRPr="000B3C17">
        <w:rPr>
          <w:rFonts w:asciiTheme="minorHAnsi" w:hAnsiTheme="minorHAnsi"/>
        </w:rPr>
        <w:t>Zinātnes un projektu attīstības centrs</w:t>
      </w:r>
      <w:r w:rsidRPr="000B3C17">
        <w:rPr>
          <w:rFonts w:asciiTheme="minorHAnsi" w:hAnsiTheme="minorHAnsi"/>
        </w:rPr>
        <w:t>. Darbus vērtē LLMZA prezidenta un LLU rektora apstiprināta ekspertu komisija.</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5. Konkursa pieteikumu iesniegšanas kārtība:</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 xml:space="preserve">5.1.balvu pretendenti iesniedz pieteikumu LLU </w:t>
      </w:r>
      <w:r w:rsidR="005F6903" w:rsidRPr="000B3C17">
        <w:rPr>
          <w:rFonts w:asciiTheme="minorHAnsi" w:hAnsiTheme="minorHAnsi"/>
        </w:rPr>
        <w:t>Zinātnes un projektu attīstības centrā</w:t>
      </w:r>
      <w:r w:rsidRPr="000B3C17">
        <w:rPr>
          <w:rFonts w:asciiTheme="minorHAnsi" w:hAnsiTheme="minorHAnsi"/>
        </w:rPr>
        <w:t xml:space="preserve"> līdz katra gada </w:t>
      </w:r>
      <w:r w:rsidRPr="000B3C17">
        <w:rPr>
          <w:rFonts w:asciiTheme="minorHAnsi" w:hAnsiTheme="minorHAnsi"/>
          <w:i/>
        </w:rPr>
        <w:t>15. aprīlim</w:t>
      </w:r>
      <w:r w:rsidRPr="000B3C17">
        <w:rPr>
          <w:rFonts w:asciiTheme="minorHAnsi" w:hAnsiTheme="minorHAnsi"/>
        </w:rPr>
        <w:t xml:space="preserve"> vai </w:t>
      </w:r>
      <w:r w:rsidRPr="000B3C17">
        <w:rPr>
          <w:rFonts w:asciiTheme="minorHAnsi" w:hAnsiTheme="minorHAnsi"/>
          <w:i/>
        </w:rPr>
        <w:t>15. novembrim</w:t>
      </w:r>
      <w:r w:rsidRPr="000B3C17">
        <w:rPr>
          <w:rFonts w:asciiTheme="minorHAnsi" w:hAnsiTheme="minorHAnsi"/>
        </w:rPr>
        <w:t>, pievienojot šādus dokumentus:</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5.1.1. LLMZA nodaļas, LLU Zinātnes padomes vai LLU fakultātes domes ieteikumu, kurā dots īss iesniegtā darba vērtējums un jaunā zinātnieka raksturojums;</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 xml:space="preserve">5.1.2. konkursa darbu (var būt arī promocijas vai maģistra darbs), titullapā norādot augstskolu vai zinātnisko iestādi, darba nosaukumu, autora vārdu, uzvārdu. Uz titullapas jānorāda – „LLMZA, LLU un </w:t>
      </w:r>
      <w:proofErr w:type="spellStart"/>
      <w:r w:rsidRPr="000B3C17">
        <w:rPr>
          <w:rFonts w:asciiTheme="minorHAnsi" w:hAnsiTheme="minorHAnsi"/>
        </w:rPr>
        <w:t>Altum</w:t>
      </w:r>
      <w:proofErr w:type="spellEnd"/>
      <w:r w:rsidRPr="000B3C17">
        <w:rPr>
          <w:rFonts w:asciiTheme="minorHAnsi" w:hAnsiTheme="minorHAnsi"/>
        </w:rPr>
        <w:t xml:space="preserve"> jauno zinātnieku darbu konkursam”;</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5.1.3. īsu darba anotāciju latviešu valodā;</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5.1.4. publikāciju sarakstu;</w:t>
      </w:r>
    </w:p>
    <w:p w:rsidR="00670275" w:rsidRPr="000B3C17" w:rsidRDefault="00670275" w:rsidP="000B3C17">
      <w:pPr>
        <w:pStyle w:val="NormalWeb"/>
        <w:spacing w:before="0" w:beforeAutospacing="0" w:after="0" w:afterAutospacing="0"/>
        <w:ind w:left="567" w:hanging="567"/>
        <w:jc w:val="both"/>
        <w:rPr>
          <w:rFonts w:asciiTheme="minorHAnsi" w:hAnsiTheme="minorHAnsi"/>
        </w:rPr>
      </w:pPr>
      <w:r w:rsidRPr="000B3C17">
        <w:rPr>
          <w:rFonts w:asciiTheme="minorHAnsi" w:hAnsiTheme="minorHAnsi"/>
        </w:rPr>
        <w:t>5.1.5. autora dzīves un darba gājums (CURRICULUM VITAE).</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 xml:space="preserve">6. Ekspertu komisijas slēdzienu par labāko darbu izvirzīšanu apbalvošanai apstiprina LLMZA prezidijs, pieaicinot </w:t>
      </w:r>
      <w:proofErr w:type="spellStart"/>
      <w:r w:rsidRPr="000B3C17">
        <w:rPr>
          <w:rFonts w:asciiTheme="minorHAnsi" w:hAnsiTheme="minorHAnsi"/>
        </w:rPr>
        <w:t>Altum</w:t>
      </w:r>
      <w:proofErr w:type="spellEnd"/>
      <w:r w:rsidRPr="000B3C17">
        <w:rPr>
          <w:rFonts w:asciiTheme="minorHAnsi" w:hAnsiTheme="minorHAnsi"/>
        </w:rPr>
        <w:t xml:space="preserve"> pārstāvi. Konkursa rezultāti tiek publicēti presē.</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7. Konkursa uzvarētājiem balvas pasniedz LLMZA kopsapulcē vai LLU Akadēmiskajā sēdē.</w:t>
      </w:r>
    </w:p>
    <w:p w:rsidR="00670275" w:rsidRPr="000B3C17" w:rsidRDefault="00670275" w:rsidP="000B3C17">
      <w:pPr>
        <w:pStyle w:val="NormalWeb"/>
        <w:spacing w:before="0" w:beforeAutospacing="0" w:after="0" w:afterAutospacing="0"/>
        <w:jc w:val="both"/>
        <w:rPr>
          <w:rFonts w:asciiTheme="minorHAnsi" w:hAnsiTheme="minorHAnsi"/>
        </w:rPr>
      </w:pPr>
      <w:r w:rsidRPr="000B3C17">
        <w:rPr>
          <w:rFonts w:asciiTheme="minorHAnsi" w:hAnsiTheme="minorHAnsi"/>
        </w:rPr>
        <w:t xml:space="preserve">8. Godalgotie darbi vienu gadu glabājas LLU </w:t>
      </w:r>
      <w:r w:rsidR="005F6903" w:rsidRPr="000B3C17">
        <w:rPr>
          <w:rFonts w:asciiTheme="minorHAnsi" w:hAnsiTheme="minorHAnsi"/>
        </w:rPr>
        <w:t>Zinātnes un projektu attīstības centrā</w:t>
      </w:r>
      <w:r w:rsidRPr="000B3C17">
        <w:rPr>
          <w:rFonts w:asciiTheme="minorHAnsi" w:hAnsiTheme="minorHAnsi"/>
        </w:rPr>
        <w:t>, pēc tam tiek atdoti autoriem.</w:t>
      </w:r>
    </w:p>
    <w:p w:rsidR="00A20A9B" w:rsidRDefault="00A20A9B" w:rsidP="000B3C17">
      <w:pPr>
        <w:spacing w:after="0" w:line="240" w:lineRule="auto"/>
        <w:jc w:val="both"/>
      </w:pPr>
    </w:p>
    <w:sectPr w:rsidR="00A20A9B" w:rsidSect="00A20A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75"/>
    <w:rsid w:val="000B3C17"/>
    <w:rsid w:val="001121D7"/>
    <w:rsid w:val="001D4F24"/>
    <w:rsid w:val="002443DD"/>
    <w:rsid w:val="0036120C"/>
    <w:rsid w:val="004F2C93"/>
    <w:rsid w:val="005F6903"/>
    <w:rsid w:val="00670275"/>
    <w:rsid w:val="009800EF"/>
    <w:rsid w:val="009907C0"/>
    <w:rsid w:val="00A20A9B"/>
    <w:rsid w:val="00B24F2C"/>
    <w:rsid w:val="00C075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19D52-7DF6-4696-ADA6-36DB3616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27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2016-03-16T13:26:00Z</dcterms:created>
  <dcterms:modified xsi:type="dcterms:W3CDTF">2016-03-16T13:26:00Z</dcterms:modified>
</cp:coreProperties>
</file>