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BD" w:rsidRDefault="00BA1436" w:rsidP="00A845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 xml:space="preserve">Informācija </w:t>
      </w:r>
      <w:r w:rsidR="00A845BD">
        <w:rPr>
          <w:rFonts w:ascii="Times New Roman" w:hAnsi="Times New Roman"/>
          <w:b/>
          <w:sz w:val="28"/>
          <w:szCs w:val="28"/>
        </w:rPr>
        <w:t xml:space="preserve">par grozījumiem, </w:t>
      </w:r>
    </w:p>
    <w:p w:rsidR="00BA1436" w:rsidRPr="00207AE9" w:rsidRDefault="00BA1436" w:rsidP="00A845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AE9">
        <w:rPr>
          <w:rFonts w:ascii="Times New Roman" w:hAnsi="Times New Roman"/>
          <w:b/>
          <w:sz w:val="28"/>
          <w:szCs w:val="28"/>
        </w:rPr>
        <w:t>par</w:t>
      </w:r>
      <w:r w:rsidRPr="00207AE9">
        <w:rPr>
          <w:rFonts w:ascii="Times New Roman" w:hAnsi="Times New Roman"/>
          <w:sz w:val="28"/>
          <w:szCs w:val="28"/>
        </w:rPr>
        <w:t xml:space="preserve"> </w:t>
      </w:r>
      <w:r w:rsidR="00A845BD">
        <w:rPr>
          <w:rFonts w:ascii="Times New Roman" w:hAnsi="Times New Roman"/>
          <w:b/>
          <w:sz w:val="28"/>
          <w:szCs w:val="28"/>
        </w:rPr>
        <w:t>uzdotajiem</w:t>
      </w:r>
      <w:r w:rsidRPr="00207AE9">
        <w:rPr>
          <w:rFonts w:ascii="Times New Roman" w:hAnsi="Times New Roman"/>
          <w:b/>
          <w:sz w:val="28"/>
          <w:szCs w:val="28"/>
        </w:rPr>
        <w:t xml:space="preserve"> jautājum</w:t>
      </w:r>
      <w:r w:rsidR="00A845BD">
        <w:rPr>
          <w:rFonts w:ascii="Times New Roman" w:hAnsi="Times New Roman"/>
          <w:b/>
          <w:sz w:val="28"/>
          <w:szCs w:val="28"/>
        </w:rPr>
        <w:t>iem un sniegtajām atbildēm</w:t>
      </w:r>
    </w:p>
    <w:p w:rsidR="00BA1436" w:rsidRPr="00207AE9" w:rsidRDefault="008F6BBA" w:rsidP="00A845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atklātam konkursam</w:t>
      </w:r>
      <w:r w:rsidR="00BA1436" w:rsidRPr="00207AE9">
        <w:rPr>
          <w:rFonts w:ascii="Times New Roman" w:hAnsi="Times New Roman"/>
          <w:b/>
          <w:sz w:val="28"/>
          <w:szCs w:val="28"/>
        </w:rPr>
        <w:t xml:space="preserve"> Nr. LLU/201</w:t>
      </w:r>
      <w:r w:rsidR="00BA1436">
        <w:rPr>
          <w:rFonts w:ascii="Times New Roman" w:hAnsi="Times New Roman"/>
          <w:b/>
          <w:sz w:val="28"/>
          <w:szCs w:val="28"/>
        </w:rPr>
        <w:t>4</w:t>
      </w:r>
      <w:r w:rsidR="00BA1436" w:rsidRPr="00207AE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</w:t>
      </w:r>
      <w:r w:rsidR="00FD51E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/ERAF/AK</w:t>
      </w:r>
    </w:p>
    <w:p w:rsidR="00BA1436" w:rsidRPr="00FD51E9" w:rsidRDefault="00FD51E9" w:rsidP="00FD51E9">
      <w:pPr>
        <w:pStyle w:val="BodyText"/>
        <w:tabs>
          <w:tab w:val="left" w:pos="284"/>
          <w:tab w:val="left" w:pos="426"/>
        </w:tabs>
        <w:spacing w:line="276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BA1436" w:rsidRPr="00FD51E9">
        <w:rPr>
          <w:szCs w:val="24"/>
          <w:lang w:val="lv-LV"/>
        </w:rPr>
        <w:t xml:space="preserve">Latvijas Lauksaimniecības universitātes (turpmāk tekstā – LLU) iepirkumu komisija </w:t>
      </w:r>
      <w:r w:rsidRPr="00FD51E9">
        <w:rPr>
          <w:szCs w:val="24"/>
          <w:lang w:val="lv-LV"/>
        </w:rPr>
        <w:t>15.10</w:t>
      </w:r>
      <w:r w:rsidR="00BA1436" w:rsidRPr="00FD51E9">
        <w:rPr>
          <w:szCs w:val="24"/>
          <w:lang w:val="lv-LV"/>
        </w:rPr>
        <w:t xml:space="preserve">.2014. ir elektroniski saņēmusi </w:t>
      </w:r>
      <w:r w:rsidRPr="00FD51E9">
        <w:rPr>
          <w:szCs w:val="24"/>
          <w:lang w:val="lv-LV"/>
        </w:rPr>
        <w:t>vēstuli ar jautājumiem</w:t>
      </w:r>
      <w:r w:rsidR="00BA1436" w:rsidRPr="00FD51E9">
        <w:rPr>
          <w:szCs w:val="24"/>
          <w:lang w:val="lv-LV"/>
        </w:rPr>
        <w:t xml:space="preserve"> par LLU </w:t>
      </w:r>
      <w:r w:rsidR="008F6BBA" w:rsidRPr="00FD51E9">
        <w:rPr>
          <w:szCs w:val="24"/>
          <w:lang w:val="lv-LV"/>
        </w:rPr>
        <w:t>izsludinātā</w:t>
      </w:r>
      <w:r w:rsidR="00BA1436" w:rsidRPr="00FD51E9">
        <w:rPr>
          <w:szCs w:val="24"/>
          <w:lang w:val="lv-LV"/>
        </w:rPr>
        <w:t xml:space="preserve"> </w:t>
      </w:r>
      <w:r w:rsidR="008F6BBA" w:rsidRPr="00FD51E9">
        <w:rPr>
          <w:szCs w:val="24"/>
          <w:lang w:val="lv-LV"/>
        </w:rPr>
        <w:t xml:space="preserve">konkursa </w:t>
      </w:r>
      <w:r w:rsidR="00BA1436" w:rsidRPr="00FD51E9">
        <w:rPr>
          <w:i/>
          <w:szCs w:val="24"/>
          <w:lang w:val="lv-LV"/>
        </w:rPr>
        <w:t>„</w:t>
      </w:r>
      <w:r w:rsidRPr="00FD51E9">
        <w:rPr>
          <w:b/>
          <w:bCs/>
          <w:i/>
          <w:szCs w:val="24"/>
          <w:lang w:val="lv-LV"/>
        </w:rPr>
        <w:t>Telpu aprīkojuma, žalūziju, molbertu un ģipša figūru</w:t>
      </w:r>
      <w:r w:rsidRPr="00FD51E9">
        <w:rPr>
          <w:b/>
          <w:i/>
          <w:szCs w:val="24"/>
          <w:lang w:val="lv-LV"/>
        </w:rPr>
        <w:t xml:space="preserve"> </w:t>
      </w:r>
      <w:r w:rsidRPr="00FD51E9">
        <w:rPr>
          <w:b/>
          <w:bCs/>
          <w:i/>
          <w:szCs w:val="24"/>
          <w:lang w:val="lv-LV"/>
        </w:rPr>
        <w:t>piegāde s</w:t>
      </w:r>
      <w:r w:rsidRPr="00FD51E9">
        <w:rPr>
          <w:b/>
          <w:i/>
          <w:szCs w:val="24"/>
          <w:lang w:val="lv-LV"/>
        </w:rPr>
        <w:t xml:space="preserve">tudiju procesa nodrošināšanai LIF korpusā un </w:t>
      </w:r>
      <w:proofErr w:type="spellStart"/>
      <w:r w:rsidRPr="00FD51E9">
        <w:rPr>
          <w:b/>
          <w:i/>
          <w:szCs w:val="24"/>
          <w:lang w:val="lv-LV"/>
        </w:rPr>
        <w:t>Valdekas</w:t>
      </w:r>
      <w:proofErr w:type="spellEnd"/>
      <w:r w:rsidRPr="00FD51E9">
        <w:rPr>
          <w:b/>
          <w:i/>
          <w:szCs w:val="24"/>
          <w:lang w:val="lv-LV"/>
        </w:rPr>
        <w:t xml:space="preserve"> pilī, vienošanās Nr. 2010/0119/3DP/3.1.2.1.1./09/IPIA/VIAA/009 ietvaros</w:t>
      </w:r>
      <w:r w:rsidR="00BA1436" w:rsidRPr="00FD51E9">
        <w:rPr>
          <w:i/>
          <w:szCs w:val="24"/>
          <w:lang w:val="lv-LV"/>
        </w:rPr>
        <w:t>”</w:t>
      </w:r>
      <w:r w:rsidR="00BA1436" w:rsidRPr="00FD51E9">
        <w:rPr>
          <w:szCs w:val="24"/>
          <w:lang w:val="lv-LV"/>
        </w:rPr>
        <w:t xml:space="preserve"> (</w:t>
      </w:r>
      <w:proofErr w:type="spellStart"/>
      <w:r w:rsidR="00BA1436" w:rsidRPr="00FD51E9">
        <w:rPr>
          <w:szCs w:val="24"/>
          <w:lang w:val="lv-LV"/>
        </w:rPr>
        <w:t>id.Nr</w:t>
      </w:r>
      <w:proofErr w:type="spellEnd"/>
      <w:r w:rsidR="00BA1436" w:rsidRPr="00FD51E9">
        <w:rPr>
          <w:szCs w:val="24"/>
          <w:lang w:val="lv-LV"/>
        </w:rPr>
        <w:t xml:space="preserve">. </w:t>
      </w:r>
      <w:r w:rsidR="00BA1436" w:rsidRPr="00FD51E9">
        <w:rPr>
          <w:color w:val="000000"/>
          <w:szCs w:val="24"/>
          <w:lang w:val="lv-LV"/>
        </w:rPr>
        <w:t>LLU/2014/</w:t>
      </w:r>
      <w:r w:rsidR="008F6BBA" w:rsidRPr="00FD51E9">
        <w:rPr>
          <w:color w:val="000000"/>
          <w:szCs w:val="24"/>
          <w:lang w:val="lv-LV"/>
        </w:rPr>
        <w:t>6</w:t>
      </w:r>
      <w:r>
        <w:rPr>
          <w:color w:val="000000"/>
          <w:szCs w:val="24"/>
          <w:lang w:val="lv-LV"/>
        </w:rPr>
        <w:t>2</w:t>
      </w:r>
      <w:r w:rsidR="008F6BBA" w:rsidRPr="00FD51E9">
        <w:rPr>
          <w:color w:val="000000"/>
          <w:szCs w:val="24"/>
          <w:lang w:val="lv-LV"/>
        </w:rPr>
        <w:t>/ERAF/AK</w:t>
      </w:r>
      <w:r w:rsidR="00BA1436" w:rsidRPr="00FD51E9">
        <w:rPr>
          <w:szCs w:val="24"/>
          <w:lang w:val="lv-LV"/>
        </w:rPr>
        <w:t xml:space="preserve">) </w:t>
      </w:r>
      <w:r w:rsidRPr="00FD51E9">
        <w:rPr>
          <w:i/>
          <w:szCs w:val="24"/>
          <w:u w:val="single"/>
          <w:lang w:val="lv-LV"/>
        </w:rPr>
        <w:t>2.daļas „Telpu noēnojuma aprīkojums (žalūzijas) un drapērijas”</w:t>
      </w:r>
      <w:r>
        <w:rPr>
          <w:szCs w:val="24"/>
          <w:lang w:val="lv-LV"/>
        </w:rPr>
        <w:t xml:space="preserve"> 1.apakšdaļas – </w:t>
      </w:r>
      <w:proofErr w:type="spellStart"/>
      <w:r>
        <w:rPr>
          <w:szCs w:val="24"/>
          <w:lang w:val="lv-LV"/>
        </w:rPr>
        <w:t>Valdekas</w:t>
      </w:r>
      <w:proofErr w:type="spellEnd"/>
      <w:r>
        <w:rPr>
          <w:szCs w:val="24"/>
          <w:lang w:val="lv-LV"/>
        </w:rPr>
        <w:t xml:space="preserve"> pils </w:t>
      </w:r>
      <w:r w:rsidR="00BA1436" w:rsidRPr="00FD51E9">
        <w:rPr>
          <w:szCs w:val="24"/>
          <w:lang w:val="lv-LV"/>
        </w:rPr>
        <w:t>tehnisko specifikāciju.</w:t>
      </w:r>
    </w:p>
    <w:p w:rsidR="004027CF" w:rsidRDefault="004027CF" w:rsidP="004027CF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51E9" w:rsidRPr="00BA1436" w:rsidRDefault="00BA1436" w:rsidP="004027CF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1436">
        <w:rPr>
          <w:rFonts w:ascii="Times New Roman" w:hAnsi="Times New Roman"/>
          <w:b/>
          <w:sz w:val="24"/>
          <w:szCs w:val="24"/>
          <w:u w:val="single"/>
        </w:rPr>
        <w:t>Jautājum</w:t>
      </w:r>
      <w:r w:rsidR="00FD51E9">
        <w:rPr>
          <w:rFonts w:ascii="Times New Roman" w:hAnsi="Times New Roman"/>
          <w:b/>
          <w:sz w:val="24"/>
          <w:szCs w:val="24"/>
          <w:u w:val="single"/>
        </w:rPr>
        <w:t>i</w:t>
      </w:r>
      <w:r w:rsidRPr="00BA143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A1436" w:rsidRDefault="00FD51E9" w:rsidP="004027CF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Tehniskajā specifikācijā, kā žalūziju materiāls minēts kokvilna. Vai žalūzijām jāparedz oderējums, lai</w:t>
      </w:r>
      <w:r w:rsidR="004C53AF">
        <w:rPr>
          <w:rFonts w:ascii="Times New Roman" w:hAnsi="Times New Roman"/>
          <w:sz w:val="24"/>
          <w:szCs w:val="24"/>
        </w:rPr>
        <w:t xml:space="preserve"> saules </w:t>
      </w:r>
      <w:r>
        <w:rPr>
          <w:rFonts w:ascii="Times New Roman" w:hAnsi="Times New Roman"/>
          <w:sz w:val="24"/>
          <w:szCs w:val="24"/>
        </w:rPr>
        <w:t xml:space="preserve">gaismas ietekmē audums </w:t>
      </w:r>
      <w:proofErr w:type="spellStart"/>
      <w:r>
        <w:rPr>
          <w:rFonts w:ascii="Times New Roman" w:hAnsi="Times New Roman"/>
          <w:sz w:val="24"/>
          <w:szCs w:val="24"/>
        </w:rPr>
        <w:t>neizdektu</w:t>
      </w:r>
      <w:proofErr w:type="spellEnd"/>
      <w:r>
        <w:rPr>
          <w:rFonts w:ascii="Times New Roman" w:hAnsi="Times New Roman"/>
          <w:sz w:val="24"/>
          <w:szCs w:val="24"/>
        </w:rPr>
        <w:t xml:space="preserve"> un nezaudētu krāsu, kā arī nodrošinātu telpu noēnojumu piemērotu </w:t>
      </w:r>
      <w:proofErr w:type="spellStart"/>
      <w:r>
        <w:rPr>
          <w:rFonts w:ascii="Times New Roman" w:hAnsi="Times New Roman"/>
          <w:sz w:val="24"/>
          <w:szCs w:val="24"/>
        </w:rPr>
        <w:t>multimēdija</w:t>
      </w:r>
      <w:proofErr w:type="spellEnd"/>
      <w:r>
        <w:rPr>
          <w:rFonts w:ascii="Times New Roman" w:hAnsi="Times New Roman"/>
          <w:sz w:val="24"/>
          <w:szCs w:val="24"/>
        </w:rPr>
        <w:t xml:space="preserve"> darbībai?</w:t>
      </w:r>
    </w:p>
    <w:p w:rsidR="00FD51E9" w:rsidRDefault="00FD51E9" w:rsidP="004027CF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p w:rsidR="00FD51E9" w:rsidRPr="00FD51E9" w:rsidRDefault="00FD51E9" w:rsidP="004027CF">
      <w:pPr>
        <w:pStyle w:val="ListParagraph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 ir pieļaujams piedāvāt 96% aptumšojošu poliestera audumu ar kokvilnas audumam identisku faktūru un pinumu?</w:t>
      </w:r>
    </w:p>
    <w:p w:rsidR="00BA1436" w:rsidRPr="00BA1436" w:rsidRDefault="00BA1436" w:rsidP="004027CF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A1436" w:rsidRDefault="00BA1436" w:rsidP="004027CF">
      <w:pPr>
        <w:ind w:firstLine="360"/>
        <w:jc w:val="both"/>
      </w:pPr>
      <w:r w:rsidRPr="00BA1436">
        <w:rPr>
          <w:rFonts w:ascii="Times New Roman" w:hAnsi="Times New Roman"/>
          <w:b/>
          <w:sz w:val="24"/>
          <w:u w:val="single"/>
        </w:rPr>
        <w:t>LLU atbilde</w:t>
      </w:r>
      <w:r w:rsidR="004C53AF">
        <w:rPr>
          <w:rFonts w:ascii="Times New Roman" w:hAnsi="Times New Roman"/>
          <w:b/>
          <w:sz w:val="24"/>
          <w:u w:val="single"/>
        </w:rPr>
        <w:t>s uz jautājumiem</w:t>
      </w:r>
      <w:r w:rsidRPr="00BA1436">
        <w:rPr>
          <w:rFonts w:ascii="Times New Roman" w:hAnsi="Times New Roman"/>
          <w:b/>
          <w:sz w:val="24"/>
          <w:u w:val="single"/>
        </w:rPr>
        <w:t>:</w:t>
      </w:r>
    </w:p>
    <w:p w:rsidR="000E634C" w:rsidRDefault="000E634C" w:rsidP="004027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0E634C">
        <w:rPr>
          <w:rFonts w:ascii="Times New Roman" w:hAnsi="Times New Roman"/>
          <w:sz w:val="24"/>
        </w:rPr>
        <w:t xml:space="preserve">ņemot vērā to, ka pretendents ar sava </w:t>
      </w:r>
      <w:r w:rsidR="000933A6">
        <w:rPr>
          <w:rFonts w:ascii="Times New Roman" w:hAnsi="Times New Roman"/>
          <w:sz w:val="24"/>
        </w:rPr>
        <w:t>piedāvājuma</w:t>
      </w:r>
      <w:r w:rsidRPr="000E634C">
        <w:rPr>
          <w:rFonts w:ascii="Times New Roman" w:hAnsi="Times New Roman"/>
          <w:sz w:val="24"/>
        </w:rPr>
        <w:t xml:space="preserve"> iesniegšanu apņemas nodrošināt kā minimums 24 mēnešu garantijas termiņu ne tikai mehānismiem, bet arī žalūziju materiālie</w:t>
      </w:r>
      <w:r w:rsidR="009F7CDA">
        <w:rPr>
          <w:rFonts w:ascii="Times New Roman" w:hAnsi="Times New Roman"/>
          <w:sz w:val="24"/>
        </w:rPr>
        <w:t>m, oderējums ir jāparedz. Oderei</w:t>
      </w:r>
      <w:r w:rsidRPr="000E634C">
        <w:rPr>
          <w:rFonts w:ascii="Times New Roman" w:hAnsi="Times New Roman"/>
          <w:sz w:val="24"/>
        </w:rPr>
        <w:t xml:space="preserve"> ne tikai jāpasargā audums no izbalēšanas, bet arī jānodrošina telpas aptumšošana. </w:t>
      </w:r>
    </w:p>
    <w:p w:rsidR="000E634C" w:rsidRPr="000E634C" w:rsidRDefault="000E634C" w:rsidP="004027CF">
      <w:pPr>
        <w:pStyle w:val="ListParagraph"/>
        <w:rPr>
          <w:rFonts w:ascii="Times New Roman" w:hAnsi="Times New Roman"/>
          <w:sz w:val="24"/>
        </w:rPr>
      </w:pPr>
    </w:p>
    <w:p w:rsidR="000E634C" w:rsidRPr="000E634C" w:rsidRDefault="000E634C" w:rsidP="004027C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0E634C">
        <w:rPr>
          <w:rFonts w:ascii="Times New Roman" w:hAnsi="Times New Roman"/>
          <w:sz w:val="24"/>
        </w:rPr>
        <w:t>jā ir pieļaujams, ja audum</w:t>
      </w:r>
      <w:r w:rsidR="000933A6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0E634C">
        <w:rPr>
          <w:rFonts w:ascii="Times New Roman" w:hAnsi="Times New Roman"/>
          <w:sz w:val="24"/>
        </w:rPr>
        <w:t xml:space="preserve"> pēc faktūras un pinuma līdzinās kokvilnas audumam.</w:t>
      </w:r>
    </w:p>
    <w:p w:rsidR="000E634C" w:rsidRDefault="000E634C" w:rsidP="000E634C">
      <w:pPr>
        <w:spacing w:line="276" w:lineRule="auto"/>
        <w:rPr>
          <w:rFonts w:ascii="Times New Roman" w:hAnsi="Times New Roman"/>
          <w:sz w:val="24"/>
        </w:rPr>
      </w:pPr>
    </w:p>
    <w:p w:rsidR="00A845BD" w:rsidRDefault="00A845BD" w:rsidP="00A845B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u w:val="single"/>
        </w:rPr>
      </w:pPr>
      <w:r w:rsidRPr="00A845BD">
        <w:rPr>
          <w:rFonts w:ascii="Times New Roman" w:hAnsi="Times New Roman"/>
          <w:b/>
          <w:color w:val="FF0000"/>
          <w:sz w:val="24"/>
          <w:u w:val="single"/>
        </w:rPr>
        <w:t>Konkursa nolikumā tika veikti sekojoši grozījumi:</w:t>
      </w:r>
    </w:p>
    <w:p w:rsidR="004027CF" w:rsidRPr="00A845BD" w:rsidRDefault="004027CF" w:rsidP="00A845BD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u w:val="single"/>
        </w:rPr>
      </w:pPr>
    </w:p>
    <w:p w:rsidR="00A845BD" w:rsidRPr="00A845BD" w:rsidRDefault="00A845BD" w:rsidP="00A845B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845BD">
        <w:rPr>
          <w:rFonts w:ascii="Times New Roman" w:hAnsi="Times New Roman"/>
          <w:sz w:val="24"/>
          <w:szCs w:val="24"/>
          <w:u w:val="single"/>
        </w:rPr>
        <w:t>Nolikuma 1.daļas 1.3.punkta 1.3.1.apakšpunkts izteikts šādā redakcijā:</w:t>
      </w:r>
    </w:p>
    <w:p w:rsidR="00A845BD" w:rsidRPr="00A845BD" w:rsidRDefault="00A845BD" w:rsidP="00A845BD">
      <w:pPr>
        <w:pStyle w:val="BodyTextIndent2"/>
        <w:spacing w:after="0" w:line="240" w:lineRule="auto"/>
        <w:jc w:val="both"/>
        <w:rPr>
          <w:i/>
          <w:lang w:val="lv-LV"/>
        </w:rPr>
      </w:pPr>
      <w:r w:rsidRPr="00A845BD">
        <w:rPr>
          <w:i/>
          <w:sz w:val="24"/>
          <w:szCs w:val="24"/>
          <w:lang w:val="lv-LV"/>
        </w:rPr>
        <w:t xml:space="preserve">1.3.1. Ieinteresētais piegādātājs </w:t>
      </w:r>
      <w:r w:rsidRPr="00A845BD">
        <w:rPr>
          <w:i/>
          <w:sz w:val="24"/>
          <w:szCs w:val="24"/>
          <w:u w:val="single"/>
          <w:lang w:val="lv-LV"/>
        </w:rPr>
        <w:t>piedāvājumus var iesniegt</w:t>
      </w:r>
      <w:r w:rsidRPr="00A845BD">
        <w:rPr>
          <w:i/>
          <w:sz w:val="24"/>
          <w:szCs w:val="24"/>
          <w:lang w:val="lv-LV"/>
        </w:rPr>
        <w:t xml:space="preserve"> </w:t>
      </w:r>
      <w:r w:rsidRPr="00A845BD">
        <w:rPr>
          <w:b/>
          <w:i/>
          <w:color w:val="FF0000"/>
          <w:sz w:val="24"/>
          <w:szCs w:val="24"/>
          <w:lang w:val="lv-LV"/>
        </w:rPr>
        <w:t xml:space="preserve">līdz 2014.gada </w:t>
      </w:r>
      <w:r>
        <w:rPr>
          <w:b/>
          <w:i/>
          <w:color w:val="FF0000"/>
          <w:sz w:val="24"/>
          <w:szCs w:val="24"/>
          <w:lang w:val="lv-LV"/>
        </w:rPr>
        <w:t>19.novembrim</w:t>
      </w:r>
      <w:r w:rsidRPr="00A845BD">
        <w:rPr>
          <w:b/>
          <w:i/>
          <w:color w:val="FF0000"/>
          <w:sz w:val="24"/>
          <w:szCs w:val="24"/>
          <w:lang w:val="lv-LV"/>
        </w:rPr>
        <w:t xml:space="preserve"> plkst.11.00</w:t>
      </w:r>
      <w:r w:rsidRPr="00A845BD">
        <w:rPr>
          <w:i/>
          <w:sz w:val="24"/>
          <w:szCs w:val="24"/>
          <w:lang w:val="lv-LV"/>
        </w:rPr>
        <w:t xml:space="preserve"> LLU Saimnieciskā dienesta 17.kab. Lielajā ielā 2, Jelgavā, LV – 3001 iesniedzot personīgi vai atsūtot pa pastu. Pasta sūtījumam jābūt nogādātam šajā punktā norādītajā adresē līdz augstākminētajam termiņam. </w:t>
      </w:r>
      <w:proofErr w:type="spellStart"/>
      <w:r w:rsidRPr="00A845BD">
        <w:rPr>
          <w:i/>
          <w:sz w:val="24"/>
          <w:szCs w:val="24"/>
        </w:rPr>
        <w:t>Piedāvājumus</w:t>
      </w:r>
      <w:proofErr w:type="spellEnd"/>
      <w:r w:rsidRPr="00A845BD">
        <w:rPr>
          <w:i/>
          <w:sz w:val="24"/>
          <w:szCs w:val="24"/>
        </w:rPr>
        <w:t xml:space="preserve"> </w:t>
      </w:r>
      <w:proofErr w:type="spellStart"/>
      <w:r w:rsidRPr="00A845BD">
        <w:rPr>
          <w:i/>
          <w:sz w:val="24"/>
          <w:szCs w:val="24"/>
        </w:rPr>
        <w:t>var</w:t>
      </w:r>
      <w:proofErr w:type="spellEnd"/>
      <w:r w:rsidRPr="00A845BD">
        <w:rPr>
          <w:i/>
          <w:sz w:val="24"/>
          <w:szCs w:val="24"/>
        </w:rPr>
        <w:t xml:space="preserve"> </w:t>
      </w:r>
      <w:proofErr w:type="spellStart"/>
      <w:r w:rsidRPr="00A845BD">
        <w:rPr>
          <w:i/>
          <w:sz w:val="24"/>
          <w:szCs w:val="24"/>
        </w:rPr>
        <w:t>iesniegt</w:t>
      </w:r>
      <w:proofErr w:type="spellEnd"/>
      <w:r w:rsidRPr="00A845BD">
        <w:rPr>
          <w:i/>
          <w:sz w:val="24"/>
          <w:szCs w:val="24"/>
        </w:rPr>
        <w:t xml:space="preserve"> </w:t>
      </w:r>
      <w:proofErr w:type="spellStart"/>
      <w:r w:rsidRPr="00A845BD">
        <w:rPr>
          <w:i/>
          <w:sz w:val="24"/>
          <w:szCs w:val="24"/>
        </w:rPr>
        <w:t>darba</w:t>
      </w:r>
      <w:proofErr w:type="spellEnd"/>
      <w:r w:rsidRPr="00A845BD">
        <w:rPr>
          <w:i/>
          <w:sz w:val="24"/>
          <w:szCs w:val="24"/>
        </w:rPr>
        <w:t xml:space="preserve"> </w:t>
      </w:r>
      <w:proofErr w:type="spellStart"/>
      <w:r w:rsidRPr="00A845BD">
        <w:rPr>
          <w:i/>
          <w:sz w:val="24"/>
          <w:szCs w:val="24"/>
        </w:rPr>
        <w:t>dienās</w:t>
      </w:r>
      <w:proofErr w:type="spellEnd"/>
      <w:r w:rsidRPr="00A845BD">
        <w:rPr>
          <w:i/>
          <w:sz w:val="24"/>
          <w:szCs w:val="24"/>
        </w:rPr>
        <w:t xml:space="preserve"> no plkst.8.30 </w:t>
      </w:r>
      <w:proofErr w:type="spellStart"/>
      <w:r w:rsidRPr="00A845BD">
        <w:rPr>
          <w:i/>
          <w:sz w:val="24"/>
          <w:szCs w:val="24"/>
        </w:rPr>
        <w:t>līdz</w:t>
      </w:r>
      <w:proofErr w:type="spellEnd"/>
      <w:r w:rsidRPr="00A845BD">
        <w:rPr>
          <w:i/>
          <w:sz w:val="24"/>
          <w:szCs w:val="24"/>
        </w:rPr>
        <w:t xml:space="preserve"> 11.30 </w:t>
      </w:r>
      <w:proofErr w:type="gramStart"/>
      <w:r w:rsidRPr="00A845BD">
        <w:rPr>
          <w:i/>
          <w:sz w:val="24"/>
          <w:szCs w:val="24"/>
        </w:rPr>
        <w:t>un</w:t>
      </w:r>
      <w:proofErr w:type="gramEnd"/>
      <w:r w:rsidRPr="00A845BD">
        <w:rPr>
          <w:i/>
          <w:sz w:val="24"/>
          <w:szCs w:val="24"/>
        </w:rPr>
        <w:t xml:space="preserve"> 13.00 </w:t>
      </w:r>
      <w:proofErr w:type="spellStart"/>
      <w:r w:rsidRPr="00A845BD">
        <w:rPr>
          <w:i/>
          <w:sz w:val="24"/>
          <w:szCs w:val="24"/>
        </w:rPr>
        <w:t>līdz</w:t>
      </w:r>
      <w:proofErr w:type="spellEnd"/>
      <w:r w:rsidRPr="00A845BD">
        <w:rPr>
          <w:i/>
          <w:sz w:val="24"/>
          <w:szCs w:val="24"/>
        </w:rPr>
        <w:t xml:space="preserve"> 16.00.</w:t>
      </w:r>
    </w:p>
    <w:p w:rsidR="00A845BD" w:rsidRPr="00A845BD" w:rsidRDefault="00A845BD" w:rsidP="00A845BD">
      <w:pPr>
        <w:pStyle w:val="BodyTextIndent2"/>
        <w:spacing w:after="0" w:line="240" w:lineRule="auto"/>
        <w:rPr>
          <w:i/>
          <w:lang w:val="lv-LV"/>
        </w:rPr>
      </w:pPr>
    </w:p>
    <w:p w:rsidR="00A845BD" w:rsidRPr="00A845BD" w:rsidRDefault="00A845BD" w:rsidP="00A845B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845BD">
        <w:rPr>
          <w:rFonts w:ascii="Times New Roman" w:hAnsi="Times New Roman"/>
          <w:sz w:val="24"/>
          <w:szCs w:val="24"/>
          <w:u w:val="single"/>
        </w:rPr>
        <w:t>Nolikuma 1.daļas 1.3.punkta 1.3.6.apakšpunkts izteikts šādā redakcijā:</w:t>
      </w:r>
    </w:p>
    <w:p w:rsidR="00A845BD" w:rsidRPr="00A845BD" w:rsidRDefault="00A845BD" w:rsidP="00A845BD">
      <w:pPr>
        <w:pStyle w:val="BodyTextIndent2"/>
        <w:spacing w:after="0" w:line="240" w:lineRule="auto"/>
        <w:jc w:val="both"/>
        <w:rPr>
          <w:i/>
          <w:color w:val="000000"/>
          <w:sz w:val="24"/>
          <w:szCs w:val="24"/>
          <w:lang w:val="lv-LV"/>
        </w:rPr>
      </w:pPr>
      <w:r w:rsidRPr="00A845BD">
        <w:rPr>
          <w:i/>
          <w:sz w:val="24"/>
          <w:szCs w:val="24"/>
          <w:lang w:val="lv-LV"/>
        </w:rPr>
        <w:t xml:space="preserve">1.3.6. Piedāvājumi tiks atvērti LLU Saimnieciskā dienesta zālē, Lielajā ielā 2, Jelgavā </w:t>
      </w:r>
      <w:r w:rsidRPr="00A845BD">
        <w:rPr>
          <w:b/>
          <w:i/>
          <w:color w:val="FF0000"/>
          <w:sz w:val="24"/>
          <w:szCs w:val="24"/>
          <w:lang w:val="lv-LV"/>
        </w:rPr>
        <w:t xml:space="preserve">2014.gada </w:t>
      </w:r>
      <w:r>
        <w:rPr>
          <w:b/>
          <w:i/>
          <w:color w:val="FF0000"/>
          <w:sz w:val="24"/>
          <w:szCs w:val="24"/>
          <w:lang w:val="lv-LV"/>
        </w:rPr>
        <w:t>19.novembrī</w:t>
      </w:r>
      <w:r w:rsidRPr="00A845BD">
        <w:rPr>
          <w:b/>
          <w:i/>
          <w:color w:val="FF0000"/>
          <w:sz w:val="24"/>
          <w:szCs w:val="24"/>
          <w:lang w:val="lv-LV"/>
        </w:rPr>
        <w:t xml:space="preserve"> plkst.11.00</w:t>
      </w:r>
      <w:r w:rsidRPr="00A845BD">
        <w:rPr>
          <w:i/>
          <w:color w:val="FF0000"/>
          <w:sz w:val="24"/>
          <w:szCs w:val="24"/>
          <w:lang w:val="lv-LV"/>
        </w:rPr>
        <w:t xml:space="preserve">. </w:t>
      </w:r>
      <w:r w:rsidRPr="00A845BD">
        <w:rPr>
          <w:i/>
          <w:sz w:val="24"/>
          <w:szCs w:val="24"/>
          <w:lang w:val="lv-LV"/>
        </w:rPr>
        <w:t>Atklāta konkursa piedāvājumu atvēršanu</w:t>
      </w:r>
      <w:r w:rsidRPr="00A845BD">
        <w:rPr>
          <w:i/>
          <w:color w:val="000000"/>
          <w:sz w:val="24"/>
          <w:szCs w:val="24"/>
          <w:lang w:val="lv-LV"/>
        </w:rPr>
        <w:t xml:space="preserve"> iepirkuma komisija veic atklātā sēdē.</w:t>
      </w:r>
    </w:p>
    <w:p w:rsidR="00A845BD" w:rsidRPr="00A845BD" w:rsidRDefault="00A845BD" w:rsidP="00A845BD">
      <w:pPr>
        <w:ind w:left="360"/>
        <w:jc w:val="both"/>
        <w:rPr>
          <w:rFonts w:ascii="Times New Roman" w:hAnsi="Times New Roman"/>
          <w:u w:val="single"/>
        </w:rPr>
      </w:pPr>
    </w:p>
    <w:p w:rsidR="00A845BD" w:rsidRPr="00A845BD" w:rsidRDefault="00A845BD" w:rsidP="00A845B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845BD">
        <w:rPr>
          <w:rFonts w:ascii="Times New Roman" w:hAnsi="Times New Roman"/>
          <w:sz w:val="24"/>
          <w:szCs w:val="24"/>
          <w:u w:val="single"/>
        </w:rPr>
        <w:t>Nolikuma 1.daļas 1.6.punkta 1.6.2.apakšpunkta sadaļas „Atzīme:” teksts izteikts šādā redakcijā:</w:t>
      </w:r>
    </w:p>
    <w:p w:rsidR="00A845BD" w:rsidRPr="00A845BD" w:rsidRDefault="00A845BD" w:rsidP="00A845B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5BD">
        <w:rPr>
          <w:rFonts w:ascii="Times New Roman" w:hAnsi="Times New Roman"/>
          <w:b/>
          <w:i/>
          <w:sz w:val="24"/>
          <w:szCs w:val="24"/>
        </w:rPr>
        <w:t>„Piedāvājums atklātam konkursam</w:t>
      </w:r>
    </w:p>
    <w:p w:rsidR="00A845BD" w:rsidRPr="00A845BD" w:rsidRDefault="00A845BD" w:rsidP="00A845BD">
      <w:pPr>
        <w:pStyle w:val="BodyText"/>
        <w:tabs>
          <w:tab w:val="left" w:pos="284"/>
          <w:tab w:val="left" w:pos="426"/>
        </w:tabs>
        <w:jc w:val="center"/>
        <w:rPr>
          <w:bCs/>
          <w:i/>
          <w:szCs w:val="32"/>
          <w:lang w:val="lv-LV"/>
        </w:rPr>
      </w:pPr>
      <w:r w:rsidRPr="00A845BD">
        <w:rPr>
          <w:i/>
          <w:szCs w:val="24"/>
          <w:lang w:val="lv-LV"/>
        </w:rPr>
        <w:t>„</w:t>
      </w:r>
      <w:r w:rsidRPr="00A845BD">
        <w:rPr>
          <w:i/>
          <w:szCs w:val="24"/>
          <w:lang w:val="lv-LV"/>
        </w:rPr>
        <w:t>„</w:t>
      </w:r>
      <w:r w:rsidRPr="00A845BD">
        <w:rPr>
          <w:bCs/>
          <w:i/>
          <w:szCs w:val="32"/>
          <w:lang w:val="lv-LV"/>
        </w:rPr>
        <w:t>Telpu aprīkojuma,</w:t>
      </w:r>
      <w:proofErr w:type="gramStart"/>
      <w:r w:rsidRPr="00A845BD">
        <w:rPr>
          <w:bCs/>
          <w:i/>
          <w:szCs w:val="32"/>
          <w:lang w:val="lv-LV"/>
        </w:rPr>
        <w:t xml:space="preserve">  </w:t>
      </w:r>
      <w:proofErr w:type="gramEnd"/>
      <w:r w:rsidRPr="00A845BD">
        <w:rPr>
          <w:bCs/>
          <w:i/>
          <w:szCs w:val="32"/>
          <w:lang w:val="lv-LV"/>
        </w:rPr>
        <w:t>molbertu un ģipša figūru</w:t>
      </w:r>
      <w:r w:rsidRPr="00A845BD">
        <w:rPr>
          <w:i/>
          <w:szCs w:val="32"/>
          <w:lang w:val="lv-LV"/>
        </w:rPr>
        <w:t xml:space="preserve"> </w:t>
      </w:r>
      <w:r w:rsidRPr="00A845BD">
        <w:rPr>
          <w:bCs/>
          <w:i/>
          <w:szCs w:val="32"/>
          <w:lang w:val="lv-LV"/>
        </w:rPr>
        <w:t xml:space="preserve">piegāde </w:t>
      </w:r>
    </w:p>
    <w:p w:rsidR="00A845BD" w:rsidRPr="002D6652" w:rsidRDefault="00A845BD" w:rsidP="00A845BD">
      <w:pPr>
        <w:pStyle w:val="BodyText"/>
        <w:tabs>
          <w:tab w:val="left" w:pos="284"/>
          <w:tab w:val="left" w:pos="426"/>
        </w:tabs>
        <w:jc w:val="center"/>
        <w:rPr>
          <w:i/>
          <w:szCs w:val="32"/>
        </w:rPr>
      </w:pPr>
      <w:proofErr w:type="spellStart"/>
      <w:proofErr w:type="gramStart"/>
      <w:r w:rsidRPr="002D6652">
        <w:rPr>
          <w:bCs/>
          <w:i/>
          <w:szCs w:val="32"/>
        </w:rPr>
        <w:t>s</w:t>
      </w:r>
      <w:r w:rsidRPr="002D6652">
        <w:rPr>
          <w:i/>
          <w:szCs w:val="32"/>
        </w:rPr>
        <w:t>tudiju</w:t>
      </w:r>
      <w:proofErr w:type="spellEnd"/>
      <w:proofErr w:type="gramEnd"/>
      <w:r w:rsidRPr="002D6652">
        <w:rPr>
          <w:i/>
          <w:szCs w:val="32"/>
        </w:rPr>
        <w:t xml:space="preserve"> </w:t>
      </w:r>
      <w:proofErr w:type="spellStart"/>
      <w:r w:rsidRPr="002D6652">
        <w:rPr>
          <w:i/>
          <w:szCs w:val="32"/>
        </w:rPr>
        <w:t>procesa</w:t>
      </w:r>
      <w:proofErr w:type="spellEnd"/>
      <w:r w:rsidRPr="002D6652">
        <w:rPr>
          <w:i/>
          <w:szCs w:val="32"/>
        </w:rPr>
        <w:t xml:space="preserve"> </w:t>
      </w:r>
      <w:proofErr w:type="spellStart"/>
      <w:r w:rsidRPr="002D6652">
        <w:rPr>
          <w:i/>
          <w:szCs w:val="32"/>
        </w:rPr>
        <w:t>nodrošināšanai</w:t>
      </w:r>
      <w:proofErr w:type="spellEnd"/>
      <w:r w:rsidRPr="002D6652">
        <w:rPr>
          <w:i/>
          <w:szCs w:val="32"/>
        </w:rPr>
        <w:t xml:space="preserve"> LIF </w:t>
      </w:r>
      <w:proofErr w:type="spellStart"/>
      <w:r w:rsidRPr="002D6652">
        <w:rPr>
          <w:i/>
          <w:szCs w:val="32"/>
        </w:rPr>
        <w:t>korpusā</w:t>
      </w:r>
      <w:proofErr w:type="spellEnd"/>
      <w:r w:rsidRPr="002D6652">
        <w:rPr>
          <w:i/>
          <w:szCs w:val="32"/>
        </w:rPr>
        <w:t xml:space="preserve"> un </w:t>
      </w:r>
      <w:proofErr w:type="spellStart"/>
      <w:r w:rsidRPr="002D6652">
        <w:rPr>
          <w:i/>
          <w:szCs w:val="32"/>
        </w:rPr>
        <w:t>Valdekas</w:t>
      </w:r>
      <w:proofErr w:type="spellEnd"/>
      <w:r w:rsidRPr="002D6652">
        <w:rPr>
          <w:i/>
          <w:szCs w:val="32"/>
        </w:rPr>
        <w:t xml:space="preserve"> </w:t>
      </w:r>
      <w:proofErr w:type="spellStart"/>
      <w:r w:rsidRPr="002D6652">
        <w:rPr>
          <w:i/>
          <w:szCs w:val="32"/>
        </w:rPr>
        <w:t>pilī</w:t>
      </w:r>
      <w:proofErr w:type="spellEnd"/>
      <w:r w:rsidRPr="002D6652">
        <w:rPr>
          <w:i/>
          <w:szCs w:val="32"/>
        </w:rPr>
        <w:t xml:space="preserve">, </w:t>
      </w:r>
    </w:p>
    <w:p w:rsidR="00A845BD" w:rsidRPr="002D6652" w:rsidRDefault="00A845BD" w:rsidP="00A845BD">
      <w:pPr>
        <w:pStyle w:val="BodyText"/>
        <w:tabs>
          <w:tab w:val="left" w:pos="284"/>
          <w:tab w:val="left" w:pos="426"/>
        </w:tabs>
        <w:jc w:val="center"/>
        <w:rPr>
          <w:b/>
          <w:i/>
          <w:color w:val="0000FF"/>
          <w:sz w:val="32"/>
          <w:szCs w:val="32"/>
        </w:rPr>
      </w:pPr>
      <w:proofErr w:type="spellStart"/>
      <w:proofErr w:type="gramStart"/>
      <w:r w:rsidRPr="002D6652">
        <w:rPr>
          <w:i/>
          <w:szCs w:val="32"/>
        </w:rPr>
        <w:t>vienošanās</w:t>
      </w:r>
      <w:proofErr w:type="spellEnd"/>
      <w:proofErr w:type="gramEnd"/>
      <w:r w:rsidRPr="002D6652">
        <w:rPr>
          <w:i/>
          <w:szCs w:val="32"/>
        </w:rPr>
        <w:t xml:space="preserve"> Nr. 2010/0119/3DP/3.1.2.1.1./09/IPIA/VIAA/009 </w:t>
      </w:r>
      <w:proofErr w:type="spellStart"/>
      <w:r w:rsidRPr="002D6652">
        <w:rPr>
          <w:i/>
          <w:szCs w:val="32"/>
        </w:rPr>
        <w:t>ietvaros</w:t>
      </w:r>
      <w:proofErr w:type="spellEnd"/>
      <w:r w:rsidRPr="002D6652">
        <w:rPr>
          <w:i/>
          <w:szCs w:val="24"/>
        </w:rPr>
        <w:t>”,</w:t>
      </w:r>
    </w:p>
    <w:p w:rsidR="00A845BD" w:rsidRPr="002D6652" w:rsidRDefault="00A845BD" w:rsidP="00A845BD">
      <w:pPr>
        <w:jc w:val="center"/>
        <w:rPr>
          <w:rFonts w:ascii="Times New Roman" w:hAnsi="Times New Roman"/>
          <w:sz w:val="24"/>
          <w:szCs w:val="24"/>
        </w:rPr>
      </w:pPr>
      <w:r w:rsidRPr="002D66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6652">
        <w:rPr>
          <w:rFonts w:ascii="Times New Roman" w:hAnsi="Times New Roman"/>
          <w:sz w:val="24"/>
          <w:szCs w:val="24"/>
        </w:rPr>
        <w:t>id.Nr</w:t>
      </w:r>
      <w:proofErr w:type="spellEnd"/>
      <w:r w:rsidRPr="002D6652">
        <w:rPr>
          <w:rFonts w:ascii="Times New Roman" w:hAnsi="Times New Roman"/>
          <w:sz w:val="24"/>
          <w:szCs w:val="24"/>
        </w:rPr>
        <w:t>. LLU/2014/</w:t>
      </w:r>
      <w:r>
        <w:rPr>
          <w:rFonts w:ascii="Times New Roman" w:hAnsi="Times New Roman"/>
          <w:sz w:val="24"/>
          <w:szCs w:val="24"/>
        </w:rPr>
        <w:t>62</w:t>
      </w:r>
      <w:r w:rsidRPr="002D6652">
        <w:rPr>
          <w:rFonts w:ascii="Times New Roman" w:hAnsi="Times New Roman"/>
          <w:sz w:val="24"/>
          <w:szCs w:val="24"/>
        </w:rPr>
        <w:t>/ERAF/AK,</w:t>
      </w:r>
      <w:proofErr w:type="gramStart"/>
      <w:r w:rsidRPr="002D6652"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A845BD" w:rsidRPr="002D6652" w:rsidRDefault="00A845BD" w:rsidP="00A845BD">
      <w:pPr>
        <w:jc w:val="center"/>
        <w:rPr>
          <w:rFonts w:ascii="Times New Roman" w:hAnsi="Times New Roman"/>
          <w:sz w:val="24"/>
          <w:szCs w:val="24"/>
        </w:rPr>
      </w:pPr>
      <w:r w:rsidRPr="002D6652">
        <w:rPr>
          <w:rFonts w:ascii="Times New Roman" w:hAnsi="Times New Roman"/>
          <w:sz w:val="24"/>
          <w:szCs w:val="24"/>
        </w:rPr>
        <w:t>___.daļai</w:t>
      </w:r>
      <w:proofErr w:type="gramStart"/>
      <w:r w:rsidRPr="002D66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D6652">
        <w:rPr>
          <w:rFonts w:ascii="Times New Roman" w:hAnsi="Times New Roman"/>
          <w:sz w:val="24"/>
          <w:szCs w:val="24"/>
        </w:rPr>
        <w:t>„______________________________________________________”</w:t>
      </w:r>
    </w:p>
    <w:p w:rsidR="00A845BD" w:rsidRPr="002D6652" w:rsidRDefault="00A845BD" w:rsidP="00A845BD">
      <w:pPr>
        <w:rPr>
          <w:rFonts w:ascii="Times New Roman" w:hAnsi="Times New Roman"/>
          <w:i/>
          <w:sz w:val="20"/>
          <w:szCs w:val="20"/>
        </w:rPr>
      </w:pPr>
      <w:r w:rsidRPr="002D6652">
        <w:rPr>
          <w:rFonts w:ascii="Times New Roman" w:hAnsi="Times New Roman"/>
          <w:i/>
          <w:sz w:val="20"/>
          <w:szCs w:val="20"/>
        </w:rPr>
        <w:tab/>
      </w:r>
      <w:r w:rsidRPr="002D6652">
        <w:rPr>
          <w:rFonts w:ascii="Times New Roman" w:hAnsi="Times New Roman"/>
          <w:i/>
          <w:sz w:val="20"/>
          <w:szCs w:val="20"/>
        </w:rPr>
        <w:tab/>
      </w:r>
      <w:r w:rsidRPr="002D6652">
        <w:rPr>
          <w:rFonts w:ascii="Times New Roman" w:hAnsi="Times New Roman"/>
          <w:i/>
          <w:sz w:val="20"/>
          <w:szCs w:val="20"/>
        </w:rPr>
        <w:tab/>
        <w:t>(tās daļas Nr. un nosaukums, uz kuru tiks iesniegts piedāvājums)</w:t>
      </w:r>
    </w:p>
    <w:p w:rsidR="00A845BD" w:rsidRPr="002D6652" w:rsidRDefault="00A845BD" w:rsidP="00A845BD">
      <w:pPr>
        <w:rPr>
          <w:rFonts w:ascii="Times New Roman" w:hAnsi="Times New Roman"/>
          <w:i/>
          <w:sz w:val="10"/>
          <w:szCs w:val="10"/>
        </w:rPr>
      </w:pPr>
    </w:p>
    <w:p w:rsidR="00A845BD" w:rsidRDefault="00A845BD" w:rsidP="00A845BD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D6652">
        <w:rPr>
          <w:rFonts w:ascii="Times New Roman" w:hAnsi="Times New Roman"/>
          <w:b/>
          <w:i/>
          <w:sz w:val="24"/>
          <w:szCs w:val="24"/>
        </w:rPr>
        <w:t xml:space="preserve">Neatvērt līdz </w:t>
      </w:r>
      <w:r w:rsidRPr="00EC4C3D">
        <w:rPr>
          <w:rFonts w:ascii="Times New Roman" w:hAnsi="Times New Roman"/>
          <w:b/>
          <w:i/>
          <w:color w:val="FF0000"/>
          <w:sz w:val="24"/>
          <w:szCs w:val="24"/>
        </w:rPr>
        <w:t>2014.gada</w:t>
      </w:r>
      <w:r w:rsidRPr="002D6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C4C3D">
        <w:rPr>
          <w:rFonts w:ascii="Times New Roman" w:hAnsi="Times New Roman"/>
          <w:b/>
          <w:i/>
          <w:color w:val="FF0000"/>
          <w:sz w:val="24"/>
          <w:szCs w:val="24"/>
        </w:rPr>
        <w:t>19.novembrim</w:t>
      </w:r>
      <w:r w:rsidRPr="00EC4C3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C3D">
        <w:rPr>
          <w:rFonts w:ascii="Times New Roman" w:hAnsi="Times New Roman"/>
          <w:b/>
          <w:i/>
          <w:color w:val="FF0000"/>
          <w:sz w:val="24"/>
          <w:szCs w:val="24"/>
        </w:rPr>
        <w:t>plkst. 11.00.</w:t>
      </w:r>
      <w:r w:rsidRPr="002D6652">
        <w:rPr>
          <w:rFonts w:ascii="Times New Roman" w:hAnsi="Times New Roman"/>
          <w:b/>
          <w:i/>
          <w:sz w:val="24"/>
          <w:szCs w:val="24"/>
        </w:rPr>
        <w:t>”</w:t>
      </w:r>
    </w:p>
    <w:p w:rsidR="004027CF" w:rsidRDefault="004027CF" w:rsidP="00A845BD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7CF" w:rsidRDefault="004027CF" w:rsidP="00A845BD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7CF" w:rsidRDefault="004027CF" w:rsidP="00A845BD">
      <w:pPr>
        <w:pStyle w:val="ListParagraph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27CF" w:rsidRDefault="004027CF" w:rsidP="004027C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27CF">
        <w:rPr>
          <w:rFonts w:ascii="Times New Roman" w:hAnsi="Times New Roman"/>
          <w:sz w:val="24"/>
          <w:szCs w:val="24"/>
        </w:rPr>
        <w:lastRenderedPageBreak/>
        <w:t xml:space="preserve">Nolikuma </w:t>
      </w:r>
      <w:r w:rsidRPr="004027CF">
        <w:rPr>
          <w:rFonts w:ascii="Times New Roman" w:hAnsi="Times New Roman"/>
          <w:i/>
          <w:sz w:val="24"/>
          <w:szCs w:val="24"/>
          <w:u w:val="single"/>
        </w:rPr>
        <w:t>2.daļas „Telpu noēnojuma aprīkojums (žalūzijas) un drapērijas”</w:t>
      </w:r>
      <w:r w:rsidRPr="004027CF">
        <w:rPr>
          <w:rFonts w:ascii="Times New Roman" w:hAnsi="Times New Roman"/>
          <w:sz w:val="24"/>
          <w:szCs w:val="24"/>
        </w:rPr>
        <w:t xml:space="preserve"> 1.apakšdaļas – </w:t>
      </w:r>
      <w:proofErr w:type="spellStart"/>
      <w:r w:rsidRPr="004027CF">
        <w:rPr>
          <w:rFonts w:ascii="Times New Roman" w:hAnsi="Times New Roman"/>
          <w:i/>
          <w:sz w:val="24"/>
          <w:szCs w:val="24"/>
          <w:u w:val="single"/>
        </w:rPr>
        <w:t>Valdekas</w:t>
      </w:r>
      <w:proofErr w:type="spellEnd"/>
      <w:r w:rsidRPr="004027CF">
        <w:rPr>
          <w:rFonts w:ascii="Times New Roman" w:hAnsi="Times New Roman"/>
          <w:i/>
          <w:sz w:val="24"/>
          <w:szCs w:val="24"/>
          <w:u w:val="single"/>
        </w:rPr>
        <w:t xml:space="preserve"> pils</w:t>
      </w:r>
      <w:r w:rsidRPr="00402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tehniskā specifikācijā tika papildināta ar sekojošo informāciju:</w:t>
      </w:r>
    </w:p>
    <w:p w:rsidR="004027CF" w:rsidRDefault="004027CF" w:rsidP="004027C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4027CF" w:rsidRDefault="004027CF" w:rsidP="004027CF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6652">
        <w:rPr>
          <w:rFonts w:ascii="Times New Roman" w:hAnsi="Times New Roman"/>
          <w:sz w:val="24"/>
          <w:szCs w:val="24"/>
        </w:rPr>
        <w:t>Kokvilnas materiāla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(vai ekvivalenta</w:t>
      </w:r>
      <w:r w:rsidRPr="00795CD3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2D6652">
        <w:rPr>
          <w:rFonts w:ascii="Times New Roman" w:hAnsi="Times New Roman"/>
          <w:sz w:val="24"/>
          <w:szCs w:val="24"/>
        </w:rPr>
        <w:t>romiešu žalūzijas</w:t>
      </w:r>
    </w:p>
    <w:p w:rsidR="004027CF" w:rsidRPr="004027CF" w:rsidRDefault="004027CF" w:rsidP="004027CF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95CD3">
        <w:rPr>
          <w:rFonts w:ascii="Times New Roman" w:hAnsi="Times New Roman"/>
          <w:color w:val="FF0000"/>
          <w:sz w:val="24"/>
          <w:szCs w:val="24"/>
        </w:rPr>
        <w:t xml:space="preserve">Žalūzijām jāparedz oderējums, lai saules gaismas ietekmē audums </w:t>
      </w:r>
      <w:proofErr w:type="spellStart"/>
      <w:r w:rsidRPr="00795CD3">
        <w:rPr>
          <w:rFonts w:ascii="Times New Roman" w:hAnsi="Times New Roman"/>
          <w:color w:val="FF0000"/>
          <w:sz w:val="24"/>
          <w:szCs w:val="24"/>
        </w:rPr>
        <w:t>neizdektu</w:t>
      </w:r>
      <w:proofErr w:type="spellEnd"/>
      <w:r w:rsidRPr="00795CD3">
        <w:rPr>
          <w:rFonts w:ascii="Times New Roman" w:hAnsi="Times New Roman"/>
          <w:color w:val="FF0000"/>
          <w:sz w:val="24"/>
          <w:szCs w:val="24"/>
        </w:rPr>
        <w:t xml:space="preserve"> un nezaudētu krāsu, kā arī nodrošinātu telpu noēnojumu piemērotu </w:t>
      </w:r>
      <w:proofErr w:type="spellStart"/>
      <w:r w:rsidRPr="00795CD3">
        <w:rPr>
          <w:rFonts w:ascii="Times New Roman" w:hAnsi="Times New Roman"/>
          <w:color w:val="FF0000"/>
          <w:sz w:val="24"/>
          <w:szCs w:val="24"/>
        </w:rPr>
        <w:t>multimēdija</w:t>
      </w:r>
      <w:proofErr w:type="spellEnd"/>
      <w:r w:rsidRPr="00795CD3">
        <w:rPr>
          <w:rFonts w:ascii="Times New Roman" w:hAnsi="Times New Roman"/>
          <w:color w:val="FF0000"/>
          <w:sz w:val="24"/>
          <w:szCs w:val="24"/>
        </w:rPr>
        <w:t xml:space="preserve"> darbībai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027CF" w:rsidRDefault="004027CF" w:rsidP="004027CF">
      <w:pPr>
        <w:pStyle w:val="ListParagraph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27CF" w:rsidRPr="004027CF" w:rsidRDefault="004027CF" w:rsidP="004027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4027CF">
        <w:rPr>
          <w:rFonts w:ascii="Times New Roman" w:hAnsi="Times New Roman"/>
          <w:sz w:val="24"/>
        </w:rPr>
        <w:t>Nolikuma</w:t>
      </w:r>
      <w:r w:rsidRPr="004027CF">
        <w:rPr>
          <w:rFonts w:ascii="Times New Roman" w:hAnsi="Times New Roman"/>
          <w:sz w:val="24"/>
        </w:rPr>
        <w:t xml:space="preserve"> 2.daļas tehniskās specifikācijas papildus prasību</w:t>
      </w:r>
      <w:r w:rsidRPr="004027CF">
        <w:rPr>
          <w:rFonts w:ascii="Times New Roman" w:hAnsi="Times New Roman"/>
          <w:sz w:val="24"/>
        </w:rPr>
        <w:t xml:space="preserve"> </w:t>
      </w:r>
      <w:r w:rsidRPr="004027CF">
        <w:rPr>
          <w:rFonts w:ascii="Times New Roman" w:hAnsi="Times New Roman"/>
          <w:sz w:val="24"/>
        </w:rPr>
        <w:t>6</w:t>
      </w:r>
      <w:r w:rsidRPr="004027CF">
        <w:rPr>
          <w:rFonts w:ascii="Times New Roman" w:hAnsi="Times New Roman"/>
          <w:sz w:val="24"/>
        </w:rPr>
        <w:t>.punkts tiks izteikts sekojošā redakcijā:</w:t>
      </w:r>
      <w:r>
        <w:rPr>
          <w:rFonts w:ascii="Times New Roman" w:hAnsi="Times New Roman"/>
          <w:sz w:val="24"/>
        </w:rPr>
        <w:t xml:space="preserve"> </w:t>
      </w:r>
      <w:r w:rsidRPr="004027CF">
        <w:rPr>
          <w:rFonts w:ascii="Times New Roman" w:hAnsi="Times New Roman"/>
          <w:sz w:val="24"/>
        </w:rPr>
        <w:t>„</w:t>
      </w:r>
      <w:r w:rsidRPr="004027CF">
        <w:rPr>
          <w:rFonts w:ascii="Times New Roman" w:hAnsi="Times New Roman"/>
          <w:color w:val="FF0000"/>
        </w:rPr>
        <w:t>Iepirkumu komisijai ir tiesības pieprasīt iesniegt žalūziju materiāla un stiprinājumu / mehānismu paraugus pretendentam, ko varētu atzīt par iespējamo uzvarētāju</w:t>
      </w:r>
      <w:r w:rsidRPr="004027CF">
        <w:rPr>
          <w:rFonts w:ascii="Times New Roman" w:hAnsi="Times New Roman"/>
          <w:sz w:val="24"/>
        </w:rPr>
        <w:t>.”</w:t>
      </w:r>
    </w:p>
    <w:p w:rsidR="004027CF" w:rsidRPr="004027CF" w:rsidRDefault="004027CF" w:rsidP="004027C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4027CF" w:rsidRPr="004027CF" w:rsidSect="004027CF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D35"/>
    <w:multiLevelType w:val="hybridMultilevel"/>
    <w:tmpl w:val="6316C8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E5F55"/>
    <w:multiLevelType w:val="hybridMultilevel"/>
    <w:tmpl w:val="564E597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858E7"/>
    <w:multiLevelType w:val="hybridMultilevel"/>
    <w:tmpl w:val="ABA2E7D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4821A7"/>
    <w:multiLevelType w:val="hybridMultilevel"/>
    <w:tmpl w:val="A462C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1834"/>
    <w:multiLevelType w:val="hybridMultilevel"/>
    <w:tmpl w:val="6168536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177470"/>
    <w:multiLevelType w:val="hybridMultilevel"/>
    <w:tmpl w:val="679A16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6"/>
    <w:rsid w:val="000933A6"/>
    <w:rsid w:val="000E634C"/>
    <w:rsid w:val="001746A5"/>
    <w:rsid w:val="00253671"/>
    <w:rsid w:val="002E0868"/>
    <w:rsid w:val="003031DA"/>
    <w:rsid w:val="003201BF"/>
    <w:rsid w:val="00381993"/>
    <w:rsid w:val="004027CF"/>
    <w:rsid w:val="004C53AF"/>
    <w:rsid w:val="008A152D"/>
    <w:rsid w:val="008F6BBA"/>
    <w:rsid w:val="009F7CDA"/>
    <w:rsid w:val="00A65AC5"/>
    <w:rsid w:val="00A845BD"/>
    <w:rsid w:val="00BA1436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5BD"/>
    <w:pPr>
      <w:keepNext/>
      <w:spacing w:before="240" w:after="60"/>
      <w:jc w:val="center"/>
      <w:outlineLvl w:val="0"/>
    </w:pPr>
    <w:rPr>
      <w:rFonts w:ascii="Times New Roman Bold" w:eastAsia="Calibri" w:hAnsi="Times New Roman Bold"/>
      <w:b/>
      <w:bCs/>
      <w:smallCap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E9"/>
    <w:rPr>
      <w:rFonts w:ascii="Tahoma" w:hAnsi="Tahoma" w:cs="Tahoma"/>
      <w:sz w:val="16"/>
      <w:szCs w:val="16"/>
    </w:rPr>
  </w:style>
  <w:style w:type="paragraph" w:styleId="BodyText">
    <w:name w:val="Body Text"/>
    <w:aliases w:val="Body Text1"/>
    <w:basedOn w:val="Normal"/>
    <w:link w:val="BodyTextChar"/>
    <w:rsid w:val="00FD51E9"/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D51E9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ListParagraphChar">
    <w:name w:val="List Paragraph Char"/>
    <w:link w:val="ListParagraph"/>
    <w:locked/>
    <w:rsid w:val="00A845BD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5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5B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A845BD"/>
    <w:rPr>
      <w:rFonts w:ascii="Times New Roman Bold" w:eastAsia="Calibri" w:hAnsi="Times New Roman Bold" w:cs="Times New Roman"/>
      <w:b/>
      <w:bCs/>
      <w:smallCap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3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45BD"/>
    <w:pPr>
      <w:keepNext/>
      <w:spacing w:before="240" w:after="60"/>
      <w:jc w:val="center"/>
      <w:outlineLvl w:val="0"/>
    </w:pPr>
    <w:rPr>
      <w:rFonts w:ascii="Times New Roman Bold" w:eastAsia="Calibri" w:hAnsi="Times New Roman Bold"/>
      <w:b/>
      <w:bCs/>
      <w:smallCap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E9"/>
    <w:rPr>
      <w:rFonts w:ascii="Tahoma" w:hAnsi="Tahoma" w:cs="Tahoma"/>
      <w:sz w:val="16"/>
      <w:szCs w:val="16"/>
    </w:rPr>
  </w:style>
  <w:style w:type="paragraph" w:styleId="BodyText">
    <w:name w:val="Body Text"/>
    <w:aliases w:val="Body Text1"/>
    <w:basedOn w:val="Normal"/>
    <w:link w:val="BodyTextChar"/>
    <w:rsid w:val="00FD51E9"/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FD51E9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ListParagraphChar">
    <w:name w:val="List Paragraph Char"/>
    <w:link w:val="ListParagraph"/>
    <w:locked/>
    <w:rsid w:val="00A845BD"/>
    <w:rPr>
      <w:rFonts w:ascii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5B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5B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Heading1Char">
    <w:name w:val="Heading 1 Char"/>
    <w:basedOn w:val="DefaultParagraphFont"/>
    <w:link w:val="Heading1"/>
    <w:uiPriority w:val="99"/>
    <w:rsid w:val="00A845BD"/>
    <w:rPr>
      <w:rFonts w:ascii="Times New Roman Bold" w:eastAsia="Calibri" w:hAnsi="Times New Roman Bold" w:cs="Times New Roman"/>
      <w:b/>
      <w:bCs/>
      <w:smallCap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13</cp:revision>
  <cp:lastPrinted>2014-10-20T06:23:00Z</cp:lastPrinted>
  <dcterms:created xsi:type="dcterms:W3CDTF">2014-10-17T06:27:00Z</dcterms:created>
  <dcterms:modified xsi:type="dcterms:W3CDTF">2014-10-20T06:49:00Z</dcterms:modified>
</cp:coreProperties>
</file>